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CIRCUIT COURT OF THE _______ JUDICIAL CIRCUIT</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 COUNTY, ILLINOIS</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THE PEOPLE OF THE STATE OF ILLINOIS, </w:t>
      </w: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06">
      <w:pPr>
        <w:ind w:left="2880" w:firstLine="0"/>
        <w:rPr/>
      </w:pPr>
      <w:r w:rsidDel="00000000" w:rsidR="00000000" w:rsidRPr="00000000">
        <w:rPr>
          <w:rFonts w:ascii="Times New Roman" w:cs="Times New Roman" w:eastAsia="Times New Roman" w:hAnsi="Times New Roman"/>
          <w:color w:val="000000"/>
          <w:sz w:val="24"/>
          <w:szCs w:val="24"/>
          <w:rtl w:val="0"/>
        </w:rPr>
        <w:t xml:space="preserve">Plaintiff,</w:t>
      </w: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07">
      <w:pPr>
        <w:ind w:left="2160" w:firstLine="0"/>
        <w:rPr/>
      </w:pPr>
      <w:r w:rsidDel="00000000" w:rsidR="00000000" w:rsidRPr="00000000">
        <w:rPr>
          <w:rFonts w:ascii="Times New Roman" w:cs="Times New Roman" w:eastAsia="Times New Roman" w:hAnsi="Times New Roman"/>
          <w:color w:val="000000"/>
          <w:sz w:val="24"/>
          <w:szCs w:val="24"/>
          <w:rtl w:val="0"/>
        </w:rPr>
        <w:t xml:space="preserve">vs</w:t>
      </w: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tab/>
        <w:tab/>
      </w:r>
      <w:r w:rsidDel="00000000" w:rsidR="00000000" w:rsidRPr="00000000">
        <w:rPr>
          <w:rFonts w:ascii="Times New Roman" w:cs="Times New Roman" w:eastAsia="Times New Roman" w:hAnsi="Times New Roman"/>
          <w:color w:val="000000"/>
          <w:sz w:val="24"/>
          <w:szCs w:val="24"/>
          <w:rtl w:val="0"/>
        </w:rPr>
        <w:t xml:space="preserve">No: ____________________</w:t>
      </w:r>
      <w:r w:rsidDel="00000000" w:rsidR="00000000" w:rsidRPr="00000000">
        <w:rPr>
          <w:rtl w:val="0"/>
        </w:rPr>
      </w:r>
    </w:p>
    <w:p w:rsidR="00000000" w:rsidDel="00000000" w:rsidP="00000000" w:rsidRDefault="00000000" w:rsidRPr="00000000" w14:paraId="00000008">
      <w:pPr>
        <w:rPr/>
      </w:pPr>
      <w:r w:rsidDel="00000000" w:rsidR="00000000" w:rsidRPr="00000000">
        <w:rPr>
          <w:rFonts w:ascii="Times New Roman" w:cs="Times New Roman" w:eastAsia="Times New Roman" w:hAnsi="Times New Roman"/>
          <w:color w:val="000000"/>
          <w:sz w:val="24"/>
          <w:szCs w:val="24"/>
          <w:rtl w:val="0"/>
        </w:rPr>
        <w:t xml:space="preserve">______________________________________,</w:t>
      </w: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09">
      <w:pPr>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Defendant.</w:t>
      </w:r>
      <w:r w:rsidDel="00000000" w:rsidR="00000000" w:rsidRPr="00000000">
        <w:rPr>
          <w:rtl w:val="0"/>
        </w:rPr>
        <w:tab/>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SUPPLEMENTAL CONDITIONS OF PRETRIAL RELEASE ORDER</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br w:type="textWrapping"/>
      </w:r>
      <w:r w:rsidDel="00000000" w:rsidR="00000000" w:rsidRPr="00000000">
        <w:rPr>
          <w:rFonts w:ascii="Times New Roman" w:cs="Times New Roman" w:eastAsia="Times New Roman" w:hAnsi="Times New Roman"/>
          <w:b w:val="1"/>
          <w:sz w:val="24"/>
          <w:szCs w:val="24"/>
          <w:rtl w:val="0"/>
        </w:rPr>
        <w:t xml:space="preserve">It is HEREBY ORDERED that in addition to the conditions specified in the Conditions of Pretrial Release Order entered on today’s date, the defendant is released with the following mandatory conditions as set forth in 725 ILCS 5/110-10(a), (c), or (d):</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defendant is charged with a forcible felony; stalking; aggravated stalking; domestic battery; any violation of the Illinois Controlled Substances Act, the Methamphetamine Control and Community Protection Act, or the Cannabis Control Act that is a Class 2 or greater felony; or any felony violation of Article 24 (Deadly Weapons) of the Criminal Code of 1961 or the Criminal Code of 2012. </w:t>
      </w:r>
      <w:r w:rsidDel="00000000" w:rsidR="00000000" w:rsidRPr="00000000">
        <w:rPr>
          <w:rFonts w:ascii="Times New Roman" w:cs="Times New Roman" w:eastAsia="Times New Roman" w:hAnsi="Times New Roman"/>
          <w:sz w:val="24"/>
          <w:szCs w:val="24"/>
          <w:rtl w:val="0"/>
        </w:rPr>
        <w:t xml:space="preserve">(725 ILCS 5/110-10(a)(5))</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Court finds that the circumstances of the case warrant th</w:t>
      </w:r>
      <w:r w:rsidDel="00000000" w:rsidR="00000000" w:rsidRPr="00000000">
        <w:rPr>
          <w:rFonts w:ascii="Times New Roman" w:cs="Times New Roman" w:eastAsia="Times New Roman" w:hAnsi="Times New Roman"/>
          <w:sz w:val="24"/>
          <w:szCs w:val="24"/>
          <w:rtl w:val="0"/>
        </w:rPr>
        <w:t xml:space="preserve">e following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conditions.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620" w:right="0" w:hanging="81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defendant shall:</w:t>
      </w:r>
    </w:p>
    <w:p w:rsidR="00000000" w:rsidDel="00000000" w:rsidP="00000000" w:rsidRDefault="00000000" w:rsidRPr="00000000" w14:paraId="00000011">
      <w:pPr>
        <w:keepNext w:val="0"/>
        <w:keepLines w:val="0"/>
        <w:pageBreakBefore w:val="0"/>
        <w:widowControl w:val="1"/>
        <w:numPr>
          <w:ilvl w:val="0"/>
          <w:numId w:val="1"/>
        </w:numPr>
        <w:spacing w:after="0" w:before="0" w:line="259"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sz w:val="24"/>
          <w:szCs w:val="24"/>
          <w:rtl w:val="0"/>
        </w:rPr>
        <w:t xml:space="preserve">mmediately surrender all firearms in their possession to the following law enforcement agency ___________________________________________________.</w:t>
      </w:r>
      <w:r w:rsidDel="00000000" w:rsidR="00000000" w:rsidRPr="00000000">
        <w:rPr>
          <w:rtl w:val="0"/>
        </w:rPr>
      </w:r>
    </w:p>
    <w:p w:rsidR="00000000" w:rsidDel="00000000" w:rsidP="00000000" w:rsidRDefault="00000000" w:rsidRPr="00000000" w14:paraId="00000012">
      <w:pPr>
        <w:keepNext w:val="0"/>
        <w:keepLines w:val="0"/>
        <w:pageBreakBefore w:val="0"/>
        <w:widowControl w:val="1"/>
        <w:spacing w:after="0" w:before="0" w:line="259"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spacing w:after="0" w:before="0" w:line="259"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Physically surrender their Firearm Owner’s Identification Card to the clerk of the court within 48 hours of release, as per 430 </w:t>
      </w:r>
      <w:r w:rsidDel="00000000" w:rsidR="00000000" w:rsidRPr="00000000">
        <w:rPr>
          <w:rFonts w:ascii="Times New Roman" w:cs="Times New Roman" w:eastAsia="Times New Roman" w:hAnsi="Times New Roman"/>
          <w:sz w:val="24"/>
          <w:szCs w:val="24"/>
          <w:rtl w:val="0"/>
        </w:rPr>
        <w:t xml:space="preserve">ILCS 65/9.5(g)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spacing w:after="0" w:before="0" w:line="259"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defendant is charged with sexual assault or abuse involving a victim under 18 years of age living in the same household as the defendant at the time of the alleged offense. (725 ILCS 5/110-10(c))</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9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defendant shall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select those that apply):</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hanging="720"/>
        <w:jc w:val="left"/>
        <w:rPr>
          <w:rFonts w:ascii="Calibri" w:cs="Calibri" w:eastAsia="Calibri" w:hAnsi="Calibri"/>
          <w:b w:val="1"/>
          <w:i w:val="0"/>
          <w:smallCaps w:val="0"/>
          <w:strike w:val="0"/>
          <w:color w:val="000000"/>
          <w:sz w:val="24"/>
          <w:szCs w:val="24"/>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Vacate the household located 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hanging="720"/>
        <w:jc w:val="left"/>
        <w:rPr>
          <w:rFonts w:ascii="Calibri" w:cs="Calibri" w:eastAsia="Calibri" w:hAnsi="Calibri"/>
          <w:b w:val="1"/>
          <w:i w:val="0"/>
          <w:smallCaps w:val="0"/>
          <w:strike w:val="0"/>
          <w:color w:val="000000"/>
          <w:sz w:val="24"/>
          <w:szCs w:val="24"/>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 temporary support to the</w:t>
      </w:r>
      <w:r w:rsidDel="00000000" w:rsidR="00000000" w:rsidRPr="00000000">
        <w:rPr>
          <w:rFonts w:ascii="Times New Roman" w:cs="Times New Roman" w:eastAsia="Times New Roman" w:hAnsi="Times New Roman"/>
          <w:sz w:val="24"/>
          <w:szCs w:val="24"/>
          <w:rtl w:val="0"/>
        </w:rPr>
        <w:t xml:space="preserv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dependents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710" w:right="0" w:hanging="630"/>
        <w:jc w:val="left"/>
        <w:rPr>
          <w:rFonts w:ascii="Times New Roman" w:cs="Times New Roman" w:eastAsia="Times New Roman" w:hAnsi="Times New Roman"/>
          <w:b w:val="1"/>
          <w:i w:val="0"/>
          <w:smallCaps w:val="0"/>
          <w:strike w:val="0"/>
          <w:color w:val="000000"/>
          <w:sz w:val="24"/>
          <w:szCs w:val="24"/>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Refrain from contact or communication with the alleged child victim, unless permitted by the Court.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w:t>
      </w:r>
    </w:p>
    <w:p w:rsidR="00000000" w:rsidDel="00000000" w:rsidP="00000000" w:rsidRDefault="00000000" w:rsidRPr="00000000" w14:paraId="0000001C">
      <w:pPr>
        <w:ind w:left="1710" w:hanging="630"/>
        <w:rPr>
          <w:rFonts w:ascii="Times New Roman" w:cs="Times New Roman" w:eastAsia="Times New Roman" w:hAnsi="Times New Roman"/>
          <w:sz w:val="24"/>
          <w:szCs w:val="24"/>
        </w:rPr>
      </w:pPr>
      <w:sdt>
        <w:sdtPr>
          <w:tag w:val="goog_rdk_5"/>
        </w:sdtPr>
        <w:sdtContent>
          <w:r w:rsidDel="00000000" w:rsidR="00000000" w:rsidRPr="00000000">
            <w:rPr>
              <w:rFonts w:ascii="Arial Unicode MS" w:cs="Arial Unicode MS" w:eastAsia="Arial Unicode MS" w:hAnsi="Arial Unicode MS"/>
              <w:sz w:val="24"/>
              <w:szCs w:val="24"/>
              <w:rtl w:val="0"/>
            </w:rPr>
            <w:t xml:space="preserve">☐ </w:t>
          </w:r>
        </w:sdtContent>
      </w:sdt>
      <w:r w:rsidDel="00000000" w:rsidR="00000000" w:rsidRPr="00000000">
        <w:rPr>
          <w:rFonts w:ascii="Times New Roman" w:cs="Times New Roman" w:eastAsia="Times New Roman" w:hAnsi="Times New Roman"/>
          <w:sz w:val="24"/>
          <w:szCs w:val="24"/>
          <w:rtl w:val="0"/>
        </w:rPr>
        <w:t xml:space="preserve">Other conditions that restrict defendant’s access to the alleged victim. </w:t>
      </w:r>
    </w:p>
    <w:p w:rsidR="00000000" w:rsidDel="00000000" w:rsidP="00000000" w:rsidRDefault="00000000" w:rsidRPr="00000000" w14:paraId="0000001D">
      <w:pPr>
        <w:spacing w:after="0" w:lineRule="auto"/>
        <w:ind w:left="1800" w:hanging="720"/>
        <w:rPr>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1E">
      <w:pPr>
        <w:spacing w:after="0" w:lineRule="auto"/>
        <w:ind w:left="1800" w:hanging="720"/>
        <w:rPr>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630" w:right="0" w:hanging="270"/>
        <w:jc w:val="left"/>
        <w:rPr>
          <w:rFonts w:ascii="Calibri" w:cs="Calibri" w:eastAsia="Calibri" w:hAnsi="Calibri"/>
          <w:b w:val="1"/>
          <w:i w:val="0"/>
          <w:smallCaps w:val="0"/>
          <w:strike w:val="0"/>
          <w:color w:val="000000"/>
          <w:sz w:val="24"/>
          <w:szCs w:val="24"/>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defendant is charged with a criminal offense and the alleged victim is a family or household member. (725 ILCS 5/110-10(d))</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9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defendant shall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(select as required)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sz w:val="24"/>
              <w:szCs w:val="24"/>
              <w:rtl w:val="0"/>
            </w:rPr>
            <w:t xml:space="preserve">☐ </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Refrain from contact or communication with the alleged victim ________________________________________ for __________ hours (72 hours minimum)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sdt>
        <w:sdtPr>
          <w:tag w:val="goog_rdk_8"/>
        </w:sdtPr>
        <w:sdtContent>
          <w:r w:rsidDel="00000000" w:rsidR="00000000" w:rsidRPr="00000000">
            <w:rPr>
              <w:rFonts w:ascii="Arial Unicode MS" w:cs="Arial Unicode MS" w:eastAsia="Arial Unicode MS" w:hAnsi="Arial Unicode MS"/>
              <w:sz w:val="24"/>
              <w:szCs w:val="24"/>
              <w:rtl w:val="0"/>
            </w:rPr>
            <w:t xml:space="preserve">☐ </w:t>
          </w:r>
        </w:sdtContent>
      </w:sdt>
      <w:r w:rsidDel="00000000" w:rsidR="00000000" w:rsidRPr="00000000">
        <w:rPr>
          <w:rFonts w:ascii="Times New Roman" w:cs="Times New Roman" w:eastAsia="Times New Roman" w:hAnsi="Times New Roman"/>
          <w:sz w:val="24"/>
          <w:szCs w:val="24"/>
          <w:rtl w:val="0"/>
        </w:rPr>
        <w:t xml:space="preserve">until further order of the Court,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the defendant's release.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990" w:right="0" w:firstLine="90"/>
        <w:jc w:val="left"/>
        <w:rPr>
          <w:rFonts w:ascii="Times New Roman" w:cs="Times New Roman" w:eastAsia="Times New Roman" w:hAnsi="Times New Roman"/>
          <w:sz w:val="24"/>
          <w:szCs w:val="24"/>
        </w:rPr>
      </w:pPr>
      <w:sdt>
        <w:sdtPr>
          <w:tag w:val="goog_rdk_9"/>
        </w:sdtPr>
        <w:sdtContent>
          <w:r w:rsidDel="00000000" w:rsidR="00000000" w:rsidRPr="00000000">
            <w:rPr>
              <w:rFonts w:ascii="Arial Unicode MS" w:cs="Arial Unicode MS" w:eastAsia="Arial Unicode MS" w:hAnsi="Arial Unicode MS"/>
              <w:sz w:val="24"/>
              <w:szCs w:val="24"/>
              <w:rtl w:val="0"/>
            </w:rPr>
            <w:t xml:space="preserve">☐ </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Refrain from entering or remaining at the alleged victim's residence at ________________________________________ for __________ hours (72 hours minimum) </w:t>
      </w:r>
      <w:r w:rsidDel="00000000" w:rsidR="00000000" w:rsidRPr="00000000">
        <w:rPr>
          <w:rFonts w:ascii="Times New Roman" w:cs="Times New Roman" w:eastAsia="Times New Roman" w:hAnsi="Times New Roman"/>
          <w:b w:val="1"/>
          <w:sz w:val="24"/>
          <w:szCs w:val="24"/>
          <w:rtl w:val="0"/>
        </w:rPr>
        <w:t xml:space="preserve">or</w:t>
      </w:r>
      <w:r w:rsidDel="00000000" w:rsidR="00000000" w:rsidRPr="00000000">
        <w:rPr>
          <w:rFonts w:ascii="Times New Roman" w:cs="Times New Roman" w:eastAsia="Times New Roman" w:hAnsi="Times New Roman"/>
          <w:sz w:val="24"/>
          <w:szCs w:val="24"/>
          <w:rtl w:val="0"/>
        </w:rPr>
        <w:t xml:space="preserve">  </w:t>
      </w:r>
      <w:sdt>
        <w:sdtPr>
          <w:tag w:val="goog_rdk_10"/>
        </w:sdtPr>
        <w:sdtContent>
          <w:r w:rsidDel="00000000" w:rsidR="00000000" w:rsidRPr="00000000">
            <w:rPr>
              <w:rFonts w:ascii="Arial Unicode MS" w:cs="Arial Unicode MS" w:eastAsia="Arial Unicode MS" w:hAnsi="Arial Unicode MS"/>
              <w:sz w:val="24"/>
              <w:szCs w:val="24"/>
              <w:rtl w:val="0"/>
            </w:rPr>
            <w:t xml:space="preserve">☐ </w:t>
          </w:r>
        </w:sdtContent>
      </w:sdt>
      <w:r w:rsidDel="00000000" w:rsidR="00000000" w:rsidRPr="00000000">
        <w:rPr>
          <w:rFonts w:ascii="Times New Roman" w:cs="Times New Roman" w:eastAsia="Times New Roman" w:hAnsi="Times New Roman"/>
          <w:sz w:val="24"/>
          <w:szCs w:val="24"/>
          <w:rtl w:val="0"/>
        </w:rPr>
        <w:t xml:space="preserve">until further order of the Court, following the defendant's release.</w:t>
      </w:r>
    </w:p>
    <w:p w:rsidR="00000000" w:rsidDel="00000000" w:rsidP="00000000" w:rsidRDefault="00000000" w:rsidRPr="00000000" w14:paraId="00000025">
      <w:pPr>
        <w:ind w:left="720" w:firstLine="360"/>
        <w:rPr>
          <w:rFonts w:ascii="Times New Roman" w:cs="Times New Roman" w:eastAsia="Times New Roman" w:hAnsi="Times New Roman"/>
          <w:sz w:val="24"/>
          <w:szCs w:val="24"/>
        </w:rPr>
      </w:pPr>
      <w:sdt>
        <w:sdtPr>
          <w:tag w:val="goog_rdk_11"/>
        </w:sdtPr>
        <w:sdtContent>
          <w:r w:rsidDel="00000000" w:rsidR="00000000" w:rsidRPr="00000000">
            <w:rPr>
              <w:rFonts w:ascii="Arial Unicode MS" w:cs="Arial Unicode MS" w:eastAsia="Arial Unicode MS" w:hAnsi="Arial Unicode MS"/>
              <w:sz w:val="24"/>
              <w:szCs w:val="24"/>
              <w:rtl w:val="0"/>
            </w:rPr>
            <w:t xml:space="preserve">☐ </w:t>
          </w:r>
        </w:sdtContent>
      </w:sdt>
      <w:r w:rsidDel="00000000" w:rsidR="00000000" w:rsidRPr="00000000">
        <w:rPr>
          <w:rFonts w:ascii="Times New Roman" w:cs="Times New Roman" w:eastAsia="Times New Roman" w:hAnsi="Times New Roman"/>
          <w:sz w:val="24"/>
          <w:szCs w:val="24"/>
          <w:rtl w:val="0"/>
        </w:rPr>
        <w:t xml:space="preserve">Other conditions that restrict the defendant’s access to the alleged victim. </w:t>
      </w:r>
    </w:p>
    <w:p w:rsidR="00000000" w:rsidDel="00000000" w:rsidP="00000000" w:rsidRDefault="00000000" w:rsidRPr="00000000" w14:paraId="00000026">
      <w:pPr>
        <w:spacing w:after="0" w:lineRule="auto"/>
        <w:ind w:left="1800" w:hanging="720"/>
        <w:rPr>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27">
      <w:pPr>
        <w:spacing w:after="0" w:lineRule="auto"/>
        <w:ind w:left="1800" w:hanging="720"/>
        <w:rPr>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28">
      <w:pPr>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ind w:left="0" w:firstLine="360"/>
        <w:jc w:val="both"/>
        <w:rPr>
          <w:rFonts w:ascii="Times New Roman" w:cs="Times New Roman" w:eastAsia="Times New Roman" w:hAnsi="Times New Roman"/>
          <w:sz w:val="24"/>
          <w:szCs w:val="24"/>
        </w:rPr>
      </w:pPr>
      <w:sdt>
        <w:sdtPr>
          <w:tag w:val="goog_rdk_12"/>
        </w:sdtPr>
        <w:sdtContent>
          <w:r w:rsidDel="00000000" w:rsidR="00000000" w:rsidRPr="00000000">
            <w:rPr>
              <w:rFonts w:ascii="Arial Unicode MS" w:cs="Arial Unicode MS" w:eastAsia="Arial Unicode MS" w:hAnsi="Arial Unicode MS"/>
              <w:sz w:val="24"/>
              <w:szCs w:val="24"/>
              <w:rtl w:val="0"/>
            </w:rPr>
            <w:t xml:space="preserve">☐ </w:t>
          </w:r>
        </w:sdtContent>
      </w:sdt>
      <w:r w:rsidDel="00000000" w:rsidR="00000000" w:rsidRPr="00000000">
        <w:rPr>
          <w:rFonts w:ascii="Times New Roman" w:cs="Times New Roman" w:eastAsia="Times New Roman" w:hAnsi="Times New Roman"/>
          <w:sz w:val="24"/>
          <w:szCs w:val="24"/>
          <w:rtl w:val="0"/>
        </w:rPr>
        <w:t xml:space="preserve">Other supplemental mandatory conditions</w:t>
      </w:r>
    </w:p>
    <w:p w:rsidR="00000000" w:rsidDel="00000000" w:rsidP="00000000" w:rsidRDefault="00000000" w:rsidRPr="00000000" w14:paraId="0000002A">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p w:rsidR="00000000" w:rsidDel="00000000" w:rsidP="00000000" w:rsidRDefault="00000000" w:rsidRPr="00000000" w14:paraId="0000002B">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p w:rsidR="00000000" w:rsidDel="00000000" w:rsidP="00000000" w:rsidRDefault="00000000" w:rsidRPr="00000000" w14:paraId="0000002C">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p w:rsidR="00000000" w:rsidDel="00000000" w:rsidP="00000000" w:rsidRDefault="00000000" w:rsidRPr="00000000" w14:paraId="0000002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Fonts w:ascii="Times New Roman" w:cs="Times New Roman" w:eastAsia="Times New Roman" w:hAnsi="Times New Roman"/>
          <w:b w:val="1"/>
          <w:color w:val="000000"/>
          <w:sz w:val="24"/>
          <w:szCs w:val="24"/>
          <w:rtl w:val="0"/>
        </w:rPr>
        <w:t xml:space="preserve">Entered:  </w:t>
      </w:r>
      <w:r w:rsidDel="00000000" w:rsidR="00000000" w:rsidRPr="00000000">
        <w:rPr>
          <w:rFonts w:ascii="Times New Roman" w:cs="Times New Roman" w:eastAsia="Times New Roman" w:hAnsi="Times New Roman"/>
          <w:color w:val="000000"/>
          <w:sz w:val="24"/>
          <w:szCs w:val="24"/>
          <w:rtl w:val="0"/>
        </w:rPr>
        <w:t xml:space="preserve">Date: ___________    Signature: _______________________________   </w:t>
      </w:r>
      <w:r w:rsidDel="00000000" w:rsidR="00000000" w:rsidRPr="00000000">
        <w:rPr>
          <w:rtl w:val="0"/>
        </w:rPr>
        <w:tab/>
        <w:tab/>
        <w:tab/>
        <w:tab/>
        <w:tab/>
        <w:tab/>
        <w:tab/>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tab/>
        <w:tab/>
      </w:r>
      <w:r w:rsidDel="00000000" w:rsidR="00000000" w:rsidRPr="00000000">
        <w:rPr>
          <w:rFonts w:ascii="Times New Roman" w:cs="Times New Roman" w:eastAsia="Times New Roman" w:hAnsi="Times New Roman"/>
          <w:color w:val="000000"/>
          <w:sz w:val="24"/>
          <w:szCs w:val="24"/>
          <w:rtl w:val="0"/>
        </w:rPr>
        <w:t xml:space="preserve">Judge, (enter jurisdiction here) </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Times New Roman" w:cs="Times New Roman" w:eastAsia="Times New Roman" w:hAnsi="Times New Roman"/>
          <w:b w:val="1"/>
          <w:color w:val="000000"/>
          <w:sz w:val="24"/>
          <w:szCs w:val="24"/>
          <w:rtl w:val="0"/>
        </w:rPr>
        <w:t xml:space="preserve">I acknowledge these conditions of release and affirm that I will comply with each condition. I understand that failure to comply with the conditions of release could result in sanctions and/or revocation of my pretrial release.  I further understand that I am required to notify the clerk of the court of any change of address within 24 hours.  </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br w:type="textWrapping"/>
      </w:r>
    </w:p>
    <w:p w:rsidR="00000000" w:rsidDel="00000000" w:rsidP="00000000" w:rsidRDefault="00000000" w:rsidRPr="00000000" w14:paraId="00000035">
      <w:pPr>
        <w:ind w:left="2880" w:hanging="2880"/>
        <w:jc w:val="right"/>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w:t>
      </w:r>
      <w:r w:rsidDel="00000000" w:rsidR="00000000" w:rsidRPr="00000000">
        <w:rPr>
          <w:rtl w:val="0"/>
        </w:rPr>
      </w:r>
    </w:p>
    <w:p w:rsidR="00000000" w:rsidDel="00000000" w:rsidP="00000000" w:rsidRDefault="00000000" w:rsidRPr="00000000" w14:paraId="00000036">
      <w:pPr>
        <w:ind w:left="2880" w:hanging="2880"/>
        <w:jc w:val="right"/>
        <w:rPr/>
      </w:pPr>
      <w:r w:rsidDel="00000000" w:rsidR="00000000" w:rsidRPr="00000000">
        <w:rPr>
          <w:rFonts w:ascii="Times New Roman" w:cs="Times New Roman" w:eastAsia="Times New Roman" w:hAnsi="Times New Roman"/>
          <w:color w:val="000000"/>
          <w:sz w:val="24"/>
          <w:szCs w:val="24"/>
          <w:rtl w:val="0"/>
        </w:rPr>
        <w:t xml:space="preserve">Defendant</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br w:type="textWrapping"/>
        <w:br w:type="textWrapping"/>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Supplemental Order for Mandatory Conditions of Release, December 2022</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after="0" w:lineRule="auto"/>
      <w:jc w:val="center"/>
      <w:rPr/>
    </w:pPr>
    <w:r w:rsidDel="00000000" w:rsidR="00000000" w:rsidRPr="00000000">
      <w:rPr>
        <w:b w:val="1"/>
        <w:sz w:val="24"/>
        <w:szCs w:val="24"/>
      </w:rPr>
      <w:pict>
        <v:shape id="PowerPlusWaterMarkObject1" style="position:absolute;width:595.0279527559055pt;height:168.64732283464568pt;rotation:315;z-index:-503316481;mso-position-horizontal-relative:margin;mso-position-horizontal:center;mso-position-vertical-relative:margin;mso-position-vertical:center;" fillcolor="#e8eaed" stroked="f" type="#_x0000_t136">
          <v:fill angle="0" opacity="65536f"/>
          <v:textpath fitshape="t" string="SAMPLE" style="font-family:&amp;quot;Arial&amp;quot;;font-size:1pt;"/>
        </v:shape>
      </w:pict>
    </w:r>
    <w:r w:rsidDel="00000000" w:rsidR="00000000" w:rsidRPr="00000000">
      <w:rPr>
        <w:rFonts w:ascii="Calibri" w:cs="Calibri" w:eastAsia="Calibri" w:hAnsi="Calibri"/>
        <w:b w:val="1"/>
        <w:color w:val="000000"/>
        <w:sz w:val="24"/>
        <w:szCs w:val="24"/>
        <w:rtl w:val="0"/>
      </w:rPr>
      <w:t xml:space="preserve">This is </w:t>
    </w:r>
    <w:r w:rsidDel="00000000" w:rsidR="00000000" w:rsidRPr="00000000">
      <w:rPr>
        <w:rFonts w:ascii="Calibri" w:cs="Calibri" w:eastAsia="Calibri" w:hAnsi="Calibri"/>
        <w:b w:val="1"/>
        <w:i w:val="1"/>
        <w:color w:val="000000"/>
        <w:sz w:val="24"/>
        <w:szCs w:val="24"/>
        <w:rtl w:val="0"/>
      </w:rPr>
      <w:t xml:space="preserve">not</w:t>
    </w:r>
    <w:r w:rsidDel="00000000" w:rsidR="00000000" w:rsidRPr="00000000">
      <w:rPr>
        <w:rFonts w:ascii="Calibri" w:cs="Calibri" w:eastAsia="Calibri" w:hAnsi="Calibri"/>
        <w:b w:val="1"/>
        <w:color w:val="000000"/>
        <w:sz w:val="24"/>
        <w:szCs w:val="24"/>
        <w:rtl w:val="0"/>
      </w:rPr>
      <w:t xml:space="preserve"> an official resource of the Illinois Supreme Court.</w:t>
    </w:r>
    <w:r w:rsidDel="00000000" w:rsidR="00000000" w:rsidRPr="00000000">
      <w:rPr>
        <w:rtl w:val="0"/>
      </w:rPr>
    </w:r>
  </w:p>
  <w:p w:rsidR="00000000" w:rsidDel="00000000" w:rsidP="00000000" w:rsidRDefault="00000000" w:rsidRPr="00000000" w14:paraId="0000003A">
    <w:pPr>
      <w:spacing w:after="0" w:lineRule="auto"/>
      <w:jc w:val="center"/>
      <w:rPr/>
    </w:pPr>
    <w:r w:rsidDel="00000000" w:rsidR="00000000" w:rsidRPr="00000000">
      <w:rPr>
        <w:rFonts w:ascii="Calibri" w:cs="Calibri" w:eastAsia="Calibri" w:hAnsi="Calibri"/>
        <w:b w:val="1"/>
        <w:color w:val="000000"/>
        <w:sz w:val="24"/>
        <w:szCs w:val="24"/>
        <w:rtl w:val="0"/>
      </w:rPr>
      <w:t xml:space="preserve">This is a product of the Illinois Supreme Court Implementation Task Force.</w:t>
    </w:r>
    <w:r w:rsidDel="00000000" w:rsidR="00000000" w:rsidRPr="00000000">
      <w:rPr>
        <w:rtl w:val="0"/>
      </w:rPr>
    </w:r>
  </w:p>
  <w:p w:rsidR="00000000" w:rsidDel="00000000" w:rsidP="00000000" w:rsidRDefault="00000000" w:rsidRPr="00000000" w14:paraId="0000003B">
    <w:pPr>
      <w:spacing w:after="0" w:lineRule="auto"/>
      <w:jc w:val="center"/>
      <w:rPr/>
    </w:pPr>
    <w:r w:rsidDel="00000000" w:rsidR="00000000" w:rsidRPr="00000000">
      <w:rPr>
        <w:rFonts w:ascii="Calibri" w:cs="Calibri" w:eastAsia="Calibri" w:hAnsi="Calibri"/>
        <w:b w:val="1"/>
        <w:color w:val="000000"/>
        <w:sz w:val="24"/>
        <w:szCs w:val="24"/>
        <w:rtl w:val="0"/>
      </w:rPr>
      <w:t xml:space="preserve">Counties </w:t>
    </w:r>
    <w:r w:rsidDel="00000000" w:rsidR="00000000" w:rsidRPr="00000000">
      <w:rPr>
        <w:rFonts w:ascii="Calibri" w:cs="Calibri" w:eastAsia="Calibri" w:hAnsi="Calibri"/>
        <w:b w:val="1"/>
        <w:i w:val="1"/>
        <w:color w:val="000000"/>
        <w:sz w:val="24"/>
        <w:szCs w:val="24"/>
        <w:rtl w:val="0"/>
      </w:rPr>
      <w:t xml:space="preserve">must </w:t>
    </w:r>
    <w:r w:rsidDel="00000000" w:rsidR="00000000" w:rsidRPr="00000000">
      <w:rPr>
        <w:rFonts w:ascii="Calibri" w:cs="Calibri" w:eastAsia="Calibri" w:hAnsi="Calibri"/>
        <w:b w:val="1"/>
        <w:color w:val="000000"/>
        <w:sz w:val="24"/>
        <w:szCs w:val="24"/>
        <w:rtl w:val="0"/>
      </w:rPr>
      <w:t xml:space="preserve">review and tailor these forms to their local circumstances. Counties are free to revise these forms as they choose (adding, deleting, etc.).</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val="1"/>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val="1"/>
    <w:pPr>
      <w:tabs>
        <w:tab w:val="center" w:pos="4680"/>
        <w:tab w:val="right" w:pos="9360"/>
      </w:tabs>
      <w:spacing w:after="0" w:line="240" w:lineRule="auto"/>
    </w:p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675B0F"/>
    <w:pPr>
      <w:spacing w:after="0" w:line="240" w:lineRule="auto"/>
    </w:pPr>
  </w:style>
  <w:style w:type="paragraph" w:styleId="CommentSubject">
    <w:name w:val="annotation subject"/>
    <w:basedOn w:val="CommentText"/>
    <w:next w:val="CommentText"/>
    <w:link w:val="CommentSubjectChar"/>
    <w:uiPriority w:val="99"/>
    <w:semiHidden w:val="1"/>
    <w:unhideWhenUsed w:val="1"/>
    <w:rsid w:val="00675B0F"/>
    <w:rPr>
      <w:b w:val="1"/>
      <w:bCs w:val="1"/>
    </w:rPr>
  </w:style>
  <w:style w:type="character" w:styleId="CommentSubjectChar" w:customStyle="1">
    <w:name w:val="Comment Subject Char"/>
    <w:basedOn w:val="CommentTextChar"/>
    <w:link w:val="CommentSubject"/>
    <w:uiPriority w:val="99"/>
    <w:semiHidden w:val="1"/>
    <w:rsid w:val="00675B0F"/>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3ztvM+JwytlhTxQ16Btg/RBCMw==">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2022-10-11T15:33:00Z</dcterms:created>
  <dc:creator>Awinna Martinez</dc:creator>
</cp:coreProperties>
</file>